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DC" w:rsidRPr="00C44242" w:rsidRDefault="00C44242">
      <w:pPr>
        <w:rPr>
          <w:sz w:val="44"/>
          <w:szCs w:val="44"/>
        </w:rPr>
      </w:pPr>
      <w:r w:rsidRPr="00C44242">
        <w:rPr>
          <w:sz w:val="44"/>
          <w:szCs w:val="44"/>
        </w:rPr>
        <w:t>In</w:t>
      </w:r>
      <w:bookmarkStart w:id="0" w:name="_GoBack"/>
      <w:bookmarkEnd w:id="0"/>
      <w:r w:rsidRPr="00C44242">
        <w:rPr>
          <w:sz w:val="44"/>
          <w:szCs w:val="44"/>
        </w:rPr>
        <w:t>ventory Management</w:t>
      </w:r>
    </w:p>
    <w:p w:rsidR="00C44242" w:rsidRDefault="00C44242">
      <w:r>
        <w:t>Read the details below:</w:t>
      </w:r>
    </w:p>
    <w:p w:rsidR="00C44242" w:rsidRDefault="00C44242" w:rsidP="00C44242">
      <w:pPr>
        <w:spacing w:after="0"/>
      </w:pPr>
      <w:r>
        <w:t>1 February 2011</w:t>
      </w:r>
      <w:r>
        <w:tab/>
      </w:r>
      <w:r>
        <w:tab/>
      </w:r>
      <w:proofErr w:type="spellStart"/>
      <w:r>
        <w:t>Zegna</w:t>
      </w:r>
      <w:proofErr w:type="spellEnd"/>
      <w:r>
        <w:t xml:space="preserve"> Shoes orders 200 pairs of joggers for $30 a pair</w:t>
      </w:r>
    </w:p>
    <w:p w:rsidR="00C44242" w:rsidRDefault="00C44242" w:rsidP="00C44242">
      <w:pPr>
        <w:spacing w:after="0"/>
      </w:pPr>
      <w:r>
        <w:t>1 February – 31 March</w:t>
      </w:r>
      <w:r>
        <w:tab/>
        <w:t>150 pairs of joggers are sold for $50 a pair</w:t>
      </w:r>
    </w:p>
    <w:p w:rsidR="00C44242" w:rsidRDefault="00C44242" w:rsidP="00C44242">
      <w:pPr>
        <w:spacing w:after="0"/>
      </w:pPr>
      <w:r>
        <w:t>1 April 2011</w:t>
      </w:r>
      <w:r>
        <w:tab/>
      </w:r>
      <w:r>
        <w:tab/>
      </w:r>
      <w:r>
        <w:tab/>
      </w:r>
      <w:proofErr w:type="spellStart"/>
      <w:r>
        <w:t>Zegna</w:t>
      </w:r>
      <w:proofErr w:type="spellEnd"/>
      <w:r>
        <w:t xml:space="preserve"> Shoes orders 100 pairs of joggers for $35 a pair</w:t>
      </w:r>
    </w:p>
    <w:p w:rsidR="00C44242" w:rsidRDefault="00C44242" w:rsidP="00C44242">
      <w:pPr>
        <w:spacing w:after="0"/>
      </w:pPr>
      <w:r>
        <w:t>1 April – 30 June</w:t>
      </w:r>
      <w:r>
        <w:tab/>
      </w:r>
      <w:r>
        <w:tab/>
        <w:t>60 pairs of joggers are sold for $55 a pair</w:t>
      </w:r>
    </w:p>
    <w:p w:rsidR="001A1D2B" w:rsidRDefault="001A1D2B" w:rsidP="001A1D2B">
      <w:pPr>
        <w:spacing w:after="0"/>
      </w:pPr>
    </w:p>
    <w:p w:rsidR="00B84265" w:rsidRDefault="00B84265">
      <w:r>
        <w:t>Complete the shaded cells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3080"/>
        <w:gridCol w:w="3081"/>
        <w:gridCol w:w="1318"/>
      </w:tblGrid>
      <w:tr w:rsidR="00C44242" w:rsidTr="00B84265">
        <w:trPr>
          <w:jc w:val="center"/>
        </w:trPr>
        <w:tc>
          <w:tcPr>
            <w:tcW w:w="3080" w:type="dxa"/>
          </w:tcPr>
          <w:p w:rsidR="00C44242" w:rsidRDefault="00C44242">
            <w:r>
              <w:t>SALES</w:t>
            </w:r>
          </w:p>
        </w:tc>
        <w:tc>
          <w:tcPr>
            <w:tcW w:w="3081" w:type="dxa"/>
          </w:tcPr>
          <w:p w:rsidR="00C44242" w:rsidRDefault="00C44242"/>
        </w:tc>
        <w:tc>
          <w:tcPr>
            <w:tcW w:w="1318" w:type="dxa"/>
          </w:tcPr>
          <w:p w:rsidR="00C44242" w:rsidRDefault="00C44242" w:rsidP="00B84265">
            <w:pPr>
              <w:jc w:val="right"/>
            </w:pPr>
          </w:p>
        </w:tc>
      </w:tr>
      <w:tr w:rsidR="00C44242" w:rsidTr="00B84265">
        <w:trPr>
          <w:jc w:val="center"/>
        </w:trPr>
        <w:tc>
          <w:tcPr>
            <w:tcW w:w="3080" w:type="dxa"/>
          </w:tcPr>
          <w:p w:rsidR="00C44242" w:rsidRDefault="00C44242">
            <w:r>
              <w:t>1 February – 31 March</w:t>
            </w:r>
          </w:p>
        </w:tc>
        <w:tc>
          <w:tcPr>
            <w:tcW w:w="3081" w:type="dxa"/>
          </w:tcPr>
          <w:p w:rsidR="00C44242" w:rsidRDefault="00C44242">
            <w:r>
              <w:t>150 x $50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C44242" w:rsidRDefault="00C44242" w:rsidP="00B84265">
            <w:pPr>
              <w:jc w:val="right"/>
            </w:pPr>
          </w:p>
        </w:tc>
      </w:tr>
      <w:tr w:rsidR="00C44242" w:rsidTr="00B84265">
        <w:trPr>
          <w:jc w:val="center"/>
        </w:trPr>
        <w:tc>
          <w:tcPr>
            <w:tcW w:w="3080" w:type="dxa"/>
          </w:tcPr>
          <w:p w:rsidR="00C44242" w:rsidRDefault="00C44242" w:rsidP="00C44242">
            <w:r>
              <w:t>1 April – 30 June</w:t>
            </w:r>
          </w:p>
        </w:tc>
        <w:tc>
          <w:tcPr>
            <w:tcW w:w="3081" w:type="dxa"/>
            <w:shd w:val="clear" w:color="auto" w:fill="B6DDE8" w:themeFill="accent5" w:themeFillTint="66"/>
          </w:tcPr>
          <w:p w:rsidR="00C44242" w:rsidRDefault="00C44242"/>
        </w:tc>
        <w:tc>
          <w:tcPr>
            <w:tcW w:w="1318" w:type="dxa"/>
          </w:tcPr>
          <w:p w:rsidR="00C44242" w:rsidRDefault="00B84265" w:rsidP="00B84265">
            <w:pPr>
              <w:jc w:val="right"/>
            </w:pPr>
            <w:r>
              <w:t>$3300</w:t>
            </w:r>
          </w:p>
        </w:tc>
      </w:tr>
      <w:tr w:rsidR="00C44242" w:rsidTr="00B84265">
        <w:trPr>
          <w:jc w:val="center"/>
        </w:trPr>
        <w:tc>
          <w:tcPr>
            <w:tcW w:w="3080" w:type="dxa"/>
          </w:tcPr>
          <w:p w:rsidR="00C44242" w:rsidRDefault="00B84265">
            <w:r>
              <w:t>TOTAL SALES</w:t>
            </w:r>
          </w:p>
        </w:tc>
        <w:tc>
          <w:tcPr>
            <w:tcW w:w="3081" w:type="dxa"/>
          </w:tcPr>
          <w:p w:rsidR="00C44242" w:rsidRDefault="00C44242"/>
        </w:tc>
        <w:tc>
          <w:tcPr>
            <w:tcW w:w="1318" w:type="dxa"/>
            <w:shd w:val="clear" w:color="auto" w:fill="B6DDE8" w:themeFill="accent5" w:themeFillTint="66"/>
          </w:tcPr>
          <w:p w:rsidR="00C44242" w:rsidRDefault="00C44242" w:rsidP="00B84265">
            <w:pPr>
              <w:jc w:val="right"/>
            </w:pPr>
          </w:p>
        </w:tc>
      </w:tr>
      <w:tr w:rsidR="00C44242" w:rsidTr="00B84265">
        <w:trPr>
          <w:jc w:val="center"/>
        </w:trPr>
        <w:tc>
          <w:tcPr>
            <w:tcW w:w="3080" w:type="dxa"/>
          </w:tcPr>
          <w:p w:rsidR="00C44242" w:rsidRDefault="00C44242"/>
        </w:tc>
        <w:tc>
          <w:tcPr>
            <w:tcW w:w="3081" w:type="dxa"/>
          </w:tcPr>
          <w:p w:rsidR="00C44242" w:rsidRDefault="00C44242"/>
        </w:tc>
        <w:tc>
          <w:tcPr>
            <w:tcW w:w="1318" w:type="dxa"/>
          </w:tcPr>
          <w:p w:rsidR="00C44242" w:rsidRDefault="00C44242" w:rsidP="00B84265">
            <w:pPr>
              <w:jc w:val="right"/>
            </w:pPr>
          </w:p>
        </w:tc>
      </w:tr>
      <w:tr w:rsidR="00C44242" w:rsidTr="00B84265">
        <w:trPr>
          <w:jc w:val="center"/>
        </w:trPr>
        <w:tc>
          <w:tcPr>
            <w:tcW w:w="3080" w:type="dxa"/>
          </w:tcPr>
          <w:p w:rsidR="00C44242" w:rsidRDefault="00B84265">
            <w:r>
              <w:t>COGS (FIFO)</w:t>
            </w:r>
          </w:p>
        </w:tc>
        <w:tc>
          <w:tcPr>
            <w:tcW w:w="3081" w:type="dxa"/>
          </w:tcPr>
          <w:p w:rsidR="00C44242" w:rsidRDefault="00C44242"/>
        </w:tc>
        <w:tc>
          <w:tcPr>
            <w:tcW w:w="1318" w:type="dxa"/>
          </w:tcPr>
          <w:p w:rsidR="00C44242" w:rsidRDefault="00C44242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1 February – 31 March</w:t>
            </w:r>
          </w:p>
        </w:tc>
        <w:tc>
          <w:tcPr>
            <w:tcW w:w="3081" w:type="dxa"/>
          </w:tcPr>
          <w:p w:rsidR="00B84265" w:rsidRDefault="00B84265">
            <w:r>
              <w:t>150 x $30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1 April – 30 June</w:t>
            </w:r>
          </w:p>
        </w:tc>
        <w:tc>
          <w:tcPr>
            <w:tcW w:w="3081" w:type="dxa"/>
            <w:shd w:val="clear" w:color="auto" w:fill="B6DDE8" w:themeFill="accent5" w:themeFillTint="66"/>
          </w:tcPr>
          <w:p w:rsidR="00B84265" w:rsidRDefault="00B84265">
            <w:r>
              <w:t>50 x $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>
            <w:r>
              <w:t>1 April – 30 June</w:t>
            </w:r>
          </w:p>
        </w:tc>
        <w:tc>
          <w:tcPr>
            <w:tcW w:w="3081" w:type="dxa"/>
            <w:shd w:val="clear" w:color="auto" w:fill="B6DDE8" w:themeFill="accent5" w:themeFillTint="66"/>
          </w:tcPr>
          <w:p w:rsidR="00B84265" w:rsidRDefault="00B84265">
            <w:r>
              <w:t>10 x $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>
            <w:r>
              <w:t>TOTAL COGS (FIFO)</w:t>
            </w:r>
          </w:p>
        </w:tc>
        <w:tc>
          <w:tcPr>
            <w:tcW w:w="3081" w:type="dxa"/>
          </w:tcPr>
          <w:p w:rsidR="00B84265" w:rsidRDefault="00B84265"/>
        </w:tc>
        <w:tc>
          <w:tcPr>
            <w:tcW w:w="1318" w:type="dxa"/>
            <w:shd w:val="clear" w:color="auto" w:fill="B6DDE8" w:themeFill="accent5" w:themeFillTint="66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/>
        </w:tc>
        <w:tc>
          <w:tcPr>
            <w:tcW w:w="3081" w:type="dxa"/>
          </w:tcPr>
          <w:p w:rsidR="00B84265" w:rsidRDefault="00B84265"/>
        </w:tc>
        <w:tc>
          <w:tcPr>
            <w:tcW w:w="1318" w:type="dxa"/>
          </w:tcPr>
          <w:p w:rsidR="00B84265" w:rsidRDefault="00B84265" w:rsidP="00B84265">
            <w:pPr>
              <w:jc w:val="right"/>
            </w:pPr>
          </w:p>
        </w:tc>
      </w:tr>
      <w:tr w:rsidR="00B84265" w:rsidRPr="00B84265" w:rsidTr="00B84265">
        <w:trPr>
          <w:jc w:val="center"/>
        </w:trPr>
        <w:tc>
          <w:tcPr>
            <w:tcW w:w="3080" w:type="dxa"/>
            <w:tcBorders>
              <w:bottom w:val="single" w:sz="4" w:space="0" w:color="auto"/>
            </w:tcBorders>
          </w:tcPr>
          <w:p w:rsidR="00B84265" w:rsidRPr="00B84265" w:rsidRDefault="00B84265">
            <w:pPr>
              <w:rPr>
                <w:b/>
              </w:rPr>
            </w:pPr>
            <w:r w:rsidRPr="00B84265">
              <w:rPr>
                <w:b/>
              </w:rPr>
              <w:t>GROSS PROFIT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84265" w:rsidRPr="00B84265" w:rsidRDefault="00B84265">
            <w:pPr>
              <w:rPr>
                <w:b/>
              </w:rPr>
            </w:pPr>
            <w:r w:rsidRPr="00B84265">
              <w:rPr>
                <w:b/>
              </w:rPr>
              <w:t>(TOTAL SALES – COGS)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84265" w:rsidRPr="00B84265" w:rsidRDefault="00B84265" w:rsidP="00B84265">
            <w:pPr>
              <w:jc w:val="right"/>
              <w:rPr>
                <w:b/>
              </w:rPr>
            </w:pPr>
          </w:p>
        </w:tc>
      </w:tr>
      <w:tr w:rsidR="00B84265" w:rsidTr="00B84265">
        <w:trPr>
          <w:trHeight w:val="604"/>
          <w:jc w:val="center"/>
        </w:trPr>
        <w:tc>
          <w:tcPr>
            <w:tcW w:w="7479" w:type="dxa"/>
            <w:gridSpan w:val="3"/>
            <w:tcBorders>
              <w:left w:val="nil"/>
              <w:right w:val="nil"/>
            </w:tcBorders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SALES</w:t>
            </w:r>
          </w:p>
        </w:tc>
        <w:tc>
          <w:tcPr>
            <w:tcW w:w="3081" w:type="dxa"/>
          </w:tcPr>
          <w:p w:rsidR="00B84265" w:rsidRDefault="00B84265" w:rsidP="002F1088"/>
        </w:tc>
        <w:tc>
          <w:tcPr>
            <w:tcW w:w="1318" w:type="dxa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1 February – 31 March</w:t>
            </w:r>
          </w:p>
        </w:tc>
        <w:tc>
          <w:tcPr>
            <w:tcW w:w="3081" w:type="dxa"/>
          </w:tcPr>
          <w:p w:rsidR="00B84265" w:rsidRDefault="00B84265" w:rsidP="002F1088">
            <w:r>
              <w:t>150 x $50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1 April – 30 June</w:t>
            </w:r>
          </w:p>
        </w:tc>
        <w:tc>
          <w:tcPr>
            <w:tcW w:w="3081" w:type="dxa"/>
            <w:shd w:val="clear" w:color="auto" w:fill="B6DDE8" w:themeFill="accent5" w:themeFillTint="66"/>
          </w:tcPr>
          <w:p w:rsidR="00B84265" w:rsidRDefault="00B84265" w:rsidP="002F1088"/>
        </w:tc>
        <w:tc>
          <w:tcPr>
            <w:tcW w:w="1318" w:type="dxa"/>
          </w:tcPr>
          <w:p w:rsidR="00B84265" w:rsidRDefault="00B84265" w:rsidP="00B84265">
            <w:pPr>
              <w:jc w:val="right"/>
            </w:pPr>
            <w:r>
              <w:t>$3300</w:t>
            </w: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TOTAL SALES</w:t>
            </w:r>
          </w:p>
        </w:tc>
        <w:tc>
          <w:tcPr>
            <w:tcW w:w="3081" w:type="dxa"/>
          </w:tcPr>
          <w:p w:rsidR="00B84265" w:rsidRDefault="00B84265" w:rsidP="002F1088"/>
        </w:tc>
        <w:tc>
          <w:tcPr>
            <w:tcW w:w="1318" w:type="dxa"/>
            <w:shd w:val="clear" w:color="auto" w:fill="B6DDE8" w:themeFill="accent5" w:themeFillTint="66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/>
        </w:tc>
        <w:tc>
          <w:tcPr>
            <w:tcW w:w="3081" w:type="dxa"/>
          </w:tcPr>
          <w:p w:rsidR="00B84265" w:rsidRDefault="00B84265" w:rsidP="002F1088"/>
        </w:tc>
        <w:tc>
          <w:tcPr>
            <w:tcW w:w="1318" w:type="dxa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COGS (LIFO)</w:t>
            </w:r>
          </w:p>
        </w:tc>
        <w:tc>
          <w:tcPr>
            <w:tcW w:w="3081" w:type="dxa"/>
          </w:tcPr>
          <w:p w:rsidR="00B84265" w:rsidRDefault="00B84265" w:rsidP="002F1088"/>
        </w:tc>
        <w:tc>
          <w:tcPr>
            <w:tcW w:w="1318" w:type="dxa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1 February – 31 March</w:t>
            </w:r>
          </w:p>
        </w:tc>
        <w:tc>
          <w:tcPr>
            <w:tcW w:w="3081" w:type="dxa"/>
          </w:tcPr>
          <w:p w:rsidR="00B84265" w:rsidRDefault="00B84265" w:rsidP="002F1088">
            <w:r>
              <w:t>150x$30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1 April – 30 June</w:t>
            </w:r>
          </w:p>
        </w:tc>
        <w:tc>
          <w:tcPr>
            <w:tcW w:w="3081" w:type="dxa"/>
            <w:shd w:val="clear" w:color="auto" w:fill="B6DDE8" w:themeFill="accent5" w:themeFillTint="66"/>
          </w:tcPr>
          <w:p w:rsidR="00B84265" w:rsidRDefault="00B84265" w:rsidP="00B84265">
            <w:r>
              <w:t>60 x $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>
            <w:r>
              <w:t>TOTAL COGS (LIFO)</w:t>
            </w:r>
          </w:p>
        </w:tc>
        <w:tc>
          <w:tcPr>
            <w:tcW w:w="3081" w:type="dxa"/>
          </w:tcPr>
          <w:p w:rsidR="00B84265" w:rsidRDefault="00B84265" w:rsidP="002F1088"/>
        </w:tc>
        <w:tc>
          <w:tcPr>
            <w:tcW w:w="1318" w:type="dxa"/>
            <w:shd w:val="clear" w:color="auto" w:fill="B6DDE8" w:themeFill="accent5" w:themeFillTint="66"/>
          </w:tcPr>
          <w:p w:rsidR="00B84265" w:rsidRDefault="00B84265" w:rsidP="00B84265">
            <w:pPr>
              <w:jc w:val="right"/>
            </w:pPr>
          </w:p>
        </w:tc>
      </w:tr>
      <w:tr w:rsidR="00B84265" w:rsidTr="00B84265">
        <w:trPr>
          <w:jc w:val="center"/>
        </w:trPr>
        <w:tc>
          <w:tcPr>
            <w:tcW w:w="3080" w:type="dxa"/>
          </w:tcPr>
          <w:p w:rsidR="00B84265" w:rsidRDefault="00B84265" w:rsidP="002F1088"/>
        </w:tc>
        <w:tc>
          <w:tcPr>
            <w:tcW w:w="3081" w:type="dxa"/>
          </w:tcPr>
          <w:p w:rsidR="00B84265" w:rsidRDefault="00B84265" w:rsidP="002F1088"/>
        </w:tc>
        <w:tc>
          <w:tcPr>
            <w:tcW w:w="1318" w:type="dxa"/>
          </w:tcPr>
          <w:p w:rsidR="00B84265" w:rsidRDefault="00B84265" w:rsidP="00B84265">
            <w:pPr>
              <w:jc w:val="right"/>
            </w:pPr>
          </w:p>
        </w:tc>
      </w:tr>
      <w:tr w:rsidR="00B84265" w:rsidRPr="00B84265" w:rsidTr="00B84265">
        <w:trPr>
          <w:jc w:val="center"/>
        </w:trPr>
        <w:tc>
          <w:tcPr>
            <w:tcW w:w="3080" w:type="dxa"/>
          </w:tcPr>
          <w:p w:rsidR="00B84265" w:rsidRPr="00B84265" w:rsidRDefault="00B84265" w:rsidP="002F1088">
            <w:pPr>
              <w:rPr>
                <w:b/>
              </w:rPr>
            </w:pPr>
            <w:r w:rsidRPr="00B84265">
              <w:rPr>
                <w:b/>
              </w:rPr>
              <w:t>GROSS PROFIT</w:t>
            </w:r>
          </w:p>
        </w:tc>
        <w:tc>
          <w:tcPr>
            <w:tcW w:w="3081" w:type="dxa"/>
          </w:tcPr>
          <w:p w:rsidR="00B84265" w:rsidRPr="00B84265" w:rsidRDefault="00B84265" w:rsidP="002F1088">
            <w:pPr>
              <w:rPr>
                <w:b/>
              </w:rPr>
            </w:pPr>
            <w:r w:rsidRPr="00B84265">
              <w:rPr>
                <w:b/>
              </w:rPr>
              <w:t>(TOTAL SALES – COGS)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B84265" w:rsidRPr="00B84265" w:rsidRDefault="00B84265" w:rsidP="00B84265">
            <w:pPr>
              <w:jc w:val="right"/>
              <w:rPr>
                <w:b/>
              </w:rPr>
            </w:pPr>
          </w:p>
        </w:tc>
      </w:tr>
    </w:tbl>
    <w:p w:rsidR="00C44242" w:rsidRDefault="00C44242"/>
    <w:p w:rsidR="00B84265" w:rsidRDefault="002236C4" w:rsidP="002236C4">
      <w:pPr>
        <w:spacing w:after="0"/>
      </w:pPr>
      <w:r>
        <w:t>Explain how the just-in-time approach can improve productivity and reduce costs.</w:t>
      </w:r>
    </w:p>
    <w:p w:rsidR="002236C4" w:rsidRDefault="002236C4" w:rsidP="002236C4">
      <w:pPr>
        <w:spacing w:after="0"/>
        <w:rPr>
          <w:color w:val="4F81BD" w:themeColor="accent1"/>
        </w:rPr>
      </w:pPr>
    </w:p>
    <w:p w:rsidR="001A1D2B" w:rsidRDefault="001A1D2B" w:rsidP="002236C4">
      <w:pPr>
        <w:spacing w:after="0"/>
      </w:pPr>
    </w:p>
    <w:p w:rsidR="001A1D2B" w:rsidRDefault="001A1D2B" w:rsidP="002236C4">
      <w:pPr>
        <w:spacing w:after="0"/>
      </w:pPr>
    </w:p>
    <w:p w:rsidR="002236C4" w:rsidRDefault="002236C4" w:rsidP="002236C4">
      <w:pPr>
        <w:spacing w:after="0"/>
      </w:pPr>
      <w:r>
        <w:t>Determine the potential problems you can see with the just-in-time approach.</w:t>
      </w:r>
    </w:p>
    <w:p w:rsidR="002236C4" w:rsidRDefault="002236C4" w:rsidP="002236C4">
      <w:pPr>
        <w:spacing w:after="0"/>
        <w:rPr>
          <w:color w:val="4F81BD" w:themeColor="accent1"/>
        </w:rPr>
      </w:pPr>
    </w:p>
    <w:p w:rsidR="001A1D2B" w:rsidRPr="002236C4" w:rsidRDefault="001A1D2B" w:rsidP="002236C4">
      <w:pPr>
        <w:spacing w:after="0"/>
        <w:rPr>
          <w:color w:val="4F81BD" w:themeColor="accent1"/>
        </w:rPr>
      </w:pPr>
    </w:p>
    <w:sectPr w:rsidR="001A1D2B" w:rsidRPr="002236C4" w:rsidSect="002236C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4242"/>
    <w:rsid w:val="00016EDC"/>
    <w:rsid w:val="001A1D2B"/>
    <w:rsid w:val="002236C4"/>
    <w:rsid w:val="00B84265"/>
    <w:rsid w:val="00C44242"/>
    <w:rsid w:val="00F9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Shani Hartley</cp:lastModifiedBy>
  <cp:revision>2</cp:revision>
  <cp:lastPrinted>2013-03-12T03:53:00Z</cp:lastPrinted>
  <dcterms:created xsi:type="dcterms:W3CDTF">2013-03-12T03:54:00Z</dcterms:created>
  <dcterms:modified xsi:type="dcterms:W3CDTF">2013-03-12T03:54:00Z</dcterms:modified>
</cp:coreProperties>
</file>